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tblpXSpec="center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709"/>
        <w:gridCol w:w="1446"/>
        <w:gridCol w:w="5386"/>
      </w:tblGrid>
      <w:tr w:rsidR="00B04EAE" w:rsidTr="00B04EAE">
        <w:tc>
          <w:tcPr>
            <w:tcW w:w="392" w:type="dxa"/>
          </w:tcPr>
          <w:p w:rsidR="00B04EAE" w:rsidRDefault="00B04EAE" w:rsidP="00B04EAE">
            <w:pPr>
              <w:widowControl/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序</w:t>
            </w:r>
            <w:r>
              <w:rPr>
                <w:rFonts w:ascii="仿宋" w:eastAsia="仿宋" w:hAnsi="仿宋"/>
                <w:sz w:val="22"/>
                <w:szCs w:val="32"/>
              </w:rPr>
              <w:t>号</w:t>
            </w:r>
          </w:p>
        </w:tc>
        <w:tc>
          <w:tcPr>
            <w:tcW w:w="567" w:type="dxa"/>
            <w:vAlign w:val="center"/>
          </w:tcPr>
          <w:p w:rsidR="00B04EAE" w:rsidRDefault="00B04EAE" w:rsidP="00B04EAE">
            <w:pPr>
              <w:widowControl/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项目名称</w:t>
            </w:r>
          </w:p>
        </w:tc>
        <w:tc>
          <w:tcPr>
            <w:tcW w:w="567" w:type="dxa"/>
            <w:vAlign w:val="center"/>
          </w:tcPr>
          <w:p w:rsidR="00B04EAE" w:rsidRDefault="00B04EAE" w:rsidP="00B04EAE">
            <w:pPr>
              <w:widowControl/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建设地点</w:t>
            </w:r>
          </w:p>
        </w:tc>
        <w:tc>
          <w:tcPr>
            <w:tcW w:w="567" w:type="dxa"/>
            <w:vAlign w:val="center"/>
          </w:tcPr>
          <w:p w:rsidR="00B04EAE" w:rsidRDefault="00B04EAE" w:rsidP="00B04EAE">
            <w:pPr>
              <w:widowControl/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建设单位</w:t>
            </w:r>
          </w:p>
        </w:tc>
        <w:tc>
          <w:tcPr>
            <w:tcW w:w="709" w:type="dxa"/>
            <w:vAlign w:val="center"/>
          </w:tcPr>
          <w:p w:rsidR="00B04EAE" w:rsidRDefault="00B04EAE" w:rsidP="00B04EAE">
            <w:pPr>
              <w:widowControl/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环评编制单位</w:t>
            </w:r>
          </w:p>
        </w:tc>
        <w:tc>
          <w:tcPr>
            <w:tcW w:w="1446" w:type="dxa"/>
            <w:vAlign w:val="center"/>
          </w:tcPr>
          <w:p w:rsidR="00B04EAE" w:rsidRDefault="00B04EAE" w:rsidP="00B04EAE">
            <w:pPr>
              <w:widowControl/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建设项目概况</w:t>
            </w:r>
          </w:p>
        </w:tc>
        <w:tc>
          <w:tcPr>
            <w:tcW w:w="5386" w:type="dxa"/>
            <w:vAlign w:val="center"/>
          </w:tcPr>
          <w:p w:rsidR="00B04EAE" w:rsidRDefault="00B04EAE" w:rsidP="00B04EAE">
            <w:pPr>
              <w:widowControl/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主要环境影响及预防或者减轻不良环境影响的对策和措施</w:t>
            </w:r>
          </w:p>
        </w:tc>
      </w:tr>
      <w:tr w:rsidR="00B04EAE" w:rsidTr="00B04EAE">
        <w:trPr>
          <w:trHeight w:val="12057"/>
        </w:trPr>
        <w:tc>
          <w:tcPr>
            <w:tcW w:w="392" w:type="dxa"/>
            <w:vAlign w:val="center"/>
          </w:tcPr>
          <w:p w:rsidR="00B04EAE" w:rsidRDefault="00B04EAE" w:rsidP="00B04EAE">
            <w:pPr>
              <w:widowControl/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B04EAE" w:rsidRPr="00CA559E" w:rsidRDefault="00CA559E" w:rsidP="00B04EAE">
            <w:pPr>
              <w:widowControl/>
              <w:jc w:val="center"/>
              <w:rPr>
                <w:rFonts w:ascii="仿宋" w:eastAsia="仿宋" w:hAnsi="仿宋"/>
                <w:sz w:val="14"/>
                <w:szCs w:val="14"/>
              </w:rPr>
            </w:pPr>
            <w:r w:rsidRPr="00CA559E">
              <w:rPr>
                <w:rFonts w:ascii="仿宋" w:eastAsia="仿宋" w:hAnsi="仿宋" w:hint="eastAsia"/>
                <w:sz w:val="14"/>
                <w:szCs w:val="14"/>
              </w:rPr>
              <w:t>偏关县振兴农业投资发展有限公司60万羽无抗蛋鸡养殖项目</w:t>
            </w:r>
          </w:p>
        </w:tc>
        <w:tc>
          <w:tcPr>
            <w:tcW w:w="567" w:type="dxa"/>
            <w:vAlign w:val="center"/>
          </w:tcPr>
          <w:p w:rsidR="00CA559E" w:rsidRPr="00CA559E" w:rsidRDefault="00CA559E" w:rsidP="00B04EAE">
            <w:pPr>
              <w:widowControl/>
              <w:jc w:val="center"/>
              <w:rPr>
                <w:rFonts w:ascii="仿宋" w:eastAsia="仿宋" w:hAnsi="仿宋"/>
                <w:sz w:val="14"/>
                <w:szCs w:val="14"/>
              </w:rPr>
            </w:pPr>
            <w:r w:rsidRPr="00CA559E">
              <w:rPr>
                <w:rFonts w:ascii="仿宋" w:eastAsia="仿宋" w:hAnsi="仿宋" w:hint="eastAsia"/>
                <w:sz w:val="14"/>
                <w:szCs w:val="14"/>
              </w:rPr>
              <w:t>偏关县窑头乡八柳树村西南530m</w:t>
            </w:r>
          </w:p>
          <w:p w:rsidR="00B04EAE" w:rsidRPr="00CA559E" w:rsidRDefault="00CA559E" w:rsidP="00B04EAE">
            <w:pPr>
              <w:widowControl/>
              <w:jc w:val="center"/>
              <w:rPr>
                <w:rFonts w:ascii="仿宋" w:eastAsia="仿宋" w:hAnsi="仿宋"/>
                <w:sz w:val="14"/>
                <w:szCs w:val="14"/>
              </w:rPr>
            </w:pPr>
            <w:r w:rsidRPr="00CA559E">
              <w:rPr>
                <w:rFonts w:ascii="仿宋" w:eastAsia="仿宋" w:hAnsi="仿宋" w:hint="eastAsia"/>
                <w:sz w:val="14"/>
                <w:szCs w:val="14"/>
              </w:rPr>
              <w:t>处</w:t>
            </w:r>
          </w:p>
        </w:tc>
        <w:tc>
          <w:tcPr>
            <w:tcW w:w="567" w:type="dxa"/>
            <w:vAlign w:val="center"/>
          </w:tcPr>
          <w:p w:rsidR="00B04EAE" w:rsidRPr="00CA559E" w:rsidRDefault="00CA559E" w:rsidP="00B04EAE">
            <w:pPr>
              <w:widowControl/>
              <w:jc w:val="center"/>
              <w:rPr>
                <w:rFonts w:ascii="仿宋" w:eastAsia="仿宋" w:hAnsi="仿宋"/>
                <w:sz w:val="14"/>
                <w:szCs w:val="14"/>
              </w:rPr>
            </w:pPr>
            <w:r w:rsidRPr="00CA559E">
              <w:rPr>
                <w:rFonts w:ascii="仿宋" w:eastAsia="仿宋" w:hAnsi="仿宋" w:hint="eastAsia"/>
                <w:sz w:val="14"/>
                <w:szCs w:val="14"/>
              </w:rPr>
              <w:t>偏关县振兴农业投资发展有限公司</w:t>
            </w:r>
          </w:p>
        </w:tc>
        <w:tc>
          <w:tcPr>
            <w:tcW w:w="709" w:type="dxa"/>
            <w:vAlign w:val="center"/>
          </w:tcPr>
          <w:p w:rsidR="00B04EAE" w:rsidRPr="00CA559E" w:rsidRDefault="00CA559E" w:rsidP="00B04EAE">
            <w:pPr>
              <w:widowControl/>
              <w:jc w:val="center"/>
              <w:rPr>
                <w:rFonts w:ascii="仿宋" w:eastAsia="仿宋" w:hAnsi="仿宋"/>
                <w:sz w:val="14"/>
                <w:szCs w:val="14"/>
              </w:rPr>
            </w:pPr>
            <w:r w:rsidRPr="00CA559E">
              <w:rPr>
                <w:rFonts w:ascii="仿宋" w:eastAsia="仿宋" w:hAnsi="仿宋" w:hint="eastAsia"/>
                <w:sz w:val="14"/>
                <w:szCs w:val="14"/>
              </w:rPr>
              <w:t>贵州秀泽环保有限公司</w:t>
            </w:r>
          </w:p>
        </w:tc>
        <w:tc>
          <w:tcPr>
            <w:tcW w:w="1446" w:type="dxa"/>
            <w:vAlign w:val="center"/>
          </w:tcPr>
          <w:p w:rsidR="00B04EAE" w:rsidRPr="00CA559E" w:rsidRDefault="00B04EAE" w:rsidP="00B04EAE">
            <w:pPr>
              <w:widowControl/>
              <w:jc w:val="center"/>
              <w:rPr>
                <w:rFonts w:ascii="仿宋" w:eastAsia="仿宋" w:hAnsi="仿宋"/>
                <w:sz w:val="14"/>
                <w:szCs w:val="14"/>
              </w:rPr>
            </w:pPr>
            <w:r w:rsidRPr="00CA559E">
              <w:rPr>
                <w:rFonts w:ascii="仿宋" w:eastAsia="仿宋" w:hAnsi="仿宋"/>
                <w:sz w:val="14"/>
                <w:szCs w:val="14"/>
              </w:rPr>
              <w:t>建设规模及内容为</w:t>
            </w:r>
            <w:r w:rsidRPr="00CA559E">
              <w:rPr>
                <w:rFonts w:ascii="仿宋" w:eastAsia="仿宋" w:hAnsi="仿宋" w:hint="eastAsia"/>
                <w:sz w:val="14"/>
                <w:szCs w:val="14"/>
              </w:rPr>
              <w:t>：</w:t>
            </w:r>
            <w:r w:rsidR="00CA559E" w:rsidRPr="00CA559E">
              <w:rPr>
                <w:rFonts w:ascii="仿宋" w:eastAsia="仿宋" w:hAnsi="仿宋" w:hint="eastAsia"/>
                <w:sz w:val="14"/>
                <w:szCs w:val="14"/>
              </w:rPr>
              <w:t>本项目拟新建育雏育成舍4栋（每栋长100米，宽13米），智能化、自动化蛋鸡舍6栋（每栋长100米，宽15米）,并配套蛋库、有机肥生产车间、检验室、配电室等辅助及公用工程，其中一期工程拟新增蛋鸡舍、育雏育成鸡舍等主体工程7100平方米；蛋库、有机肥生产车间、疫苗室、检验室等辅助工程4417.6平方米；配电室、发电机房、泵房等公用工程525平方米；宿舍、厨房、餐厅等服务性工程724平方米；无害化处理房、育雏育成区空气能加热基础等其他工程48平方米。二期工程拟新增蛋鸡舍、育雏育成鸡舍等主体工程7100平方米；饲料库等辅助工程800平方米；发电机房、蓄水池等公用工程339平方米；办公室、宿舍等服务性工程980平方米。</w:t>
            </w:r>
          </w:p>
        </w:tc>
        <w:tc>
          <w:tcPr>
            <w:tcW w:w="5386" w:type="dxa"/>
            <w:vAlign w:val="center"/>
          </w:tcPr>
          <w:p w:rsidR="00C22F02" w:rsidRPr="00584786" w:rsidRDefault="00B04EAE" w:rsidP="00C22F0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14"/>
                <w:szCs w:val="14"/>
              </w:rPr>
            </w:pPr>
            <w:r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严格落实施工期环境保护工作，加强环境管理。</w:t>
            </w:r>
            <w:r w:rsidRPr="00584786">
              <w:rPr>
                <w:rFonts w:ascii="仿宋" w:eastAsia="仿宋" w:hAnsi="仿宋" w:hint="eastAsia"/>
                <w:sz w:val="14"/>
                <w:szCs w:val="14"/>
              </w:rPr>
              <w:t>严格落实《报告</w:t>
            </w:r>
            <w:r w:rsidR="009A5E04" w:rsidRPr="00584786">
              <w:rPr>
                <w:rFonts w:ascii="仿宋" w:eastAsia="仿宋" w:hAnsi="仿宋" w:hint="eastAsia"/>
                <w:sz w:val="14"/>
                <w:szCs w:val="14"/>
              </w:rPr>
              <w:t>书</w:t>
            </w:r>
            <w:r w:rsidRPr="00584786">
              <w:rPr>
                <w:rFonts w:ascii="仿宋" w:eastAsia="仿宋" w:hAnsi="仿宋" w:hint="eastAsia"/>
                <w:sz w:val="14"/>
                <w:szCs w:val="14"/>
              </w:rPr>
              <w:t>》提出的施工期</w:t>
            </w:r>
            <w:r w:rsidR="009A5E04" w:rsidRPr="00584786">
              <w:rPr>
                <w:rFonts w:ascii="仿宋" w:eastAsia="仿宋" w:hAnsi="仿宋" w:hint="eastAsia"/>
                <w:sz w:val="14"/>
                <w:szCs w:val="14"/>
              </w:rPr>
              <w:t>及运行期间对</w:t>
            </w:r>
            <w:r w:rsidRPr="00584786">
              <w:rPr>
                <w:rFonts w:ascii="仿宋" w:eastAsia="仿宋" w:hAnsi="仿宋" w:hint="eastAsia"/>
                <w:sz w:val="14"/>
                <w:szCs w:val="14"/>
              </w:rPr>
              <w:t>废气、噪声、废水、固废</w:t>
            </w:r>
            <w:r w:rsidR="00584786" w:rsidRPr="00584786">
              <w:rPr>
                <w:rFonts w:ascii="仿宋" w:eastAsia="仿宋" w:hAnsi="仿宋" w:hint="eastAsia"/>
                <w:sz w:val="14"/>
                <w:szCs w:val="14"/>
              </w:rPr>
              <w:t>、生态</w:t>
            </w:r>
            <w:r w:rsidRPr="00584786">
              <w:rPr>
                <w:rFonts w:ascii="仿宋" w:eastAsia="仿宋" w:hAnsi="仿宋" w:hint="eastAsia"/>
                <w:sz w:val="14"/>
                <w:szCs w:val="14"/>
              </w:rPr>
              <w:t>等污染防治措施，降低对周边环境的影响。</w:t>
            </w:r>
            <w:r w:rsidR="00BB3BBE">
              <w:rPr>
                <w:rFonts w:ascii="仿宋" w:eastAsia="仿宋" w:hAnsi="仿宋" w:hint="eastAsia"/>
                <w:sz w:val="14"/>
                <w:szCs w:val="14"/>
              </w:rPr>
              <w:t>严格落实“三同时”原则，</w:t>
            </w:r>
            <w:bookmarkStart w:id="0" w:name="_GoBack"/>
            <w:bookmarkEnd w:id="0"/>
            <w:r w:rsidRPr="00584786">
              <w:rPr>
                <w:rFonts w:ascii="仿宋" w:eastAsia="仿宋" w:hAnsi="仿宋" w:hint="eastAsia"/>
                <w:sz w:val="14"/>
                <w:szCs w:val="14"/>
              </w:rPr>
              <w:t>施工扬尘控制要满足“六个百分之百”要求；</w:t>
            </w:r>
            <w:r w:rsidR="00584786" w:rsidRPr="00584786">
              <w:rPr>
                <w:rFonts w:ascii="仿宋" w:eastAsia="仿宋" w:hAnsi="仿宋" w:hint="eastAsia"/>
                <w:sz w:val="14"/>
                <w:szCs w:val="14"/>
              </w:rPr>
              <w:t>在施工场地干燥区域定时洒水，多风季节可增加洒水次数（一般天气状况应不少于</w:t>
            </w:r>
            <w:r w:rsidR="00584786" w:rsidRPr="00584786">
              <w:rPr>
                <w:rFonts w:ascii="仿宋" w:eastAsia="仿宋" w:hAnsi="仿宋"/>
                <w:sz w:val="14"/>
                <w:szCs w:val="14"/>
              </w:rPr>
              <w:t>3</w:t>
            </w:r>
            <w:r w:rsidR="00584786" w:rsidRPr="00584786">
              <w:rPr>
                <w:rFonts w:ascii="仿宋" w:eastAsia="仿宋" w:hAnsi="仿宋" w:hint="eastAsia"/>
                <w:sz w:val="14"/>
                <w:szCs w:val="14"/>
              </w:rPr>
              <w:t>次</w:t>
            </w:r>
            <w:r w:rsidR="00584786" w:rsidRPr="00584786">
              <w:rPr>
                <w:rFonts w:ascii="仿宋" w:eastAsia="仿宋" w:hAnsi="仿宋"/>
                <w:sz w:val="14"/>
                <w:szCs w:val="14"/>
              </w:rPr>
              <w:t>/</w:t>
            </w:r>
            <w:r w:rsidR="00584786" w:rsidRPr="00584786">
              <w:rPr>
                <w:rFonts w:ascii="仿宋" w:eastAsia="仿宋" w:hAnsi="仿宋" w:hint="eastAsia"/>
                <w:sz w:val="14"/>
                <w:szCs w:val="14"/>
              </w:rPr>
              <w:t>日，大风日应加大洒水频率）同时作业处覆盖防尘网</w:t>
            </w:r>
            <w:r w:rsidR="00584786">
              <w:rPr>
                <w:rFonts w:ascii="仿宋" w:eastAsia="仿宋" w:hAnsi="仿宋" w:hint="eastAsia"/>
                <w:sz w:val="14"/>
                <w:szCs w:val="14"/>
              </w:rPr>
              <w:t>；</w:t>
            </w:r>
            <w:r w:rsidR="00584786" w:rsidRPr="00584786">
              <w:rPr>
                <w:rFonts w:ascii="仿宋" w:eastAsia="仿宋" w:hAnsi="仿宋" w:hint="eastAsia"/>
                <w:sz w:val="14"/>
                <w:szCs w:val="14"/>
              </w:rPr>
              <w:t>实施车辆速度限制，施工阶段对汽车行驶路面勤洒水，每天</w:t>
            </w:r>
            <w:r w:rsidR="00584786" w:rsidRPr="00584786">
              <w:rPr>
                <w:rFonts w:ascii="仿宋" w:eastAsia="仿宋" w:hAnsi="仿宋"/>
                <w:sz w:val="14"/>
                <w:szCs w:val="14"/>
              </w:rPr>
              <w:t>3</w:t>
            </w:r>
            <w:r w:rsidR="00584786" w:rsidRPr="00584786">
              <w:rPr>
                <w:rFonts w:ascii="仿宋" w:eastAsia="仿宋" w:hAnsi="仿宋" w:hint="eastAsia"/>
                <w:sz w:val="14"/>
                <w:szCs w:val="14"/>
              </w:rPr>
              <w:t>～</w:t>
            </w:r>
            <w:r w:rsidR="00584786" w:rsidRPr="00584786">
              <w:rPr>
                <w:rFonts w:ascii="仿宋" w:eastAsia="仿宋" w:hAnsi="仿宋"/>
                <w:sz w:val="14"/>
                <w:szCs w:val="14"/>
              </w:rPr>
              <w:t>4</w:t>
            </w:r>
            <w:r w:rsidR="00584786" w:rsidRPr="00584786">
              <w:rPr>
                <w:rFonts w:ascii="仿宋" w:eastAsia="仿宋" w:hAnsi="仿宋" w:hint="eastAsia"/>
                <w:sz w:val="14"/>
                <w:szCs w:val="14"/>
              </w:rPr>
              <w:t>次，在干燥大风天气情况洒水频率加密。凡运送土石方等材料的车辆，都应用篷布覆盖，避免扬尘。合理规划</w:t>
            </w:r>
            <w:r w:rsidR="00584786" w:rsidRPr="00584786">
              <w:rPr>
                <w:rFonts w:ascii="仿宋" w:eastAsia="仿宋" w:hAnsi="仿宋" w:hint="eastAsia"/>
                <w:sz w:val="14"/>
                <w:szCs w:val="14"/>
              </w:rPr>
              <w:t>施工</w:t>
            </w:r>
            <w:r w:rsidR="00584786" w:rsidRPr="00584786">
              <w:rPr>
                <w:rFonts w:ascii="仿宋" w:eastAsia="仿宋" w:hAnsi="仿宋" w:hint="eastAsia"/>
                <w:sz w:val="14"/>
                <w:szCs w:val="14"/>
              </w:rPr>
              <w:t>现场车流量。在施工场地设置洗车平台，完善排水设施，防止泥土粘带，车辆轮胎进出场都要进行清洗</w:t>
            </w:r>
            <w:r w:rsidR="00584786">
              <w:rPr>
                <w:rFonts w:ascii="仿宋" w:eastAsia="仿宋" w:hAnsi="仿宋" w:hint="eastAsia"/>
                <w:sz w:val="14"/>
                <w:szCs w:val="14"/>
              </w:rPr>
              <w:t>；</w:t>
            </w:r>
            <w:r w:rsidR="00584786" w:rsidRPr="00584786">
              <w:rPr>
                <w:rFonts w:ascii="仿宋" w:eastAsia="仿宋" w:hAnsi="仿宋" w:hint="eastAsia"/>
                <w:sz w:val="14"/>
                <w:szCs w:val="14"/>
              </w:rPr>
              <w:t>对土方暂存场进行洒水抑尘，同时对物料采取防尘布苫覆盖</w:t>
            </w:r>
            <w:r w:rsidR="00864980">
              <w:rPr>
                <w:rFonts w:ascii="仿宋" w:eastAsia="仿宋" w:hAnsi="仿宋" w:hint="eastAsia"/>
                <w:sz w:val="14"/>
                <w:szCs w:val="14"/>
              </w:rPr>
              <w:t>。</w:t>
            </w:r>
          </w:p>
          <w:p w:rsidR="00302452" w:rsidRPr="00584786" w:rsidRDefault="00B04EAE" w:rsidP="00622D26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14"/>
                <w:szCs w:val="14"/>
              </w:rPr>
            </w:pPr>
            <w:r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严格落实</w:t>
            </w:r>
            <w:r w:rsidR="00302452">
              <w:rPr>
                <w:rFonts w:ascii="仿宋" w:eastAsia="仿宋" w:hAnsi="仿宋" w:hint="eastAsia"/>
                <w:b/>
                <w:sz w:val="14"/>
                <w:szCs w:val="14"/>
              </w:rPr>
              <w:t>施工期及运营期</w:t>
            </w:r>
            <w:r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大气污染防治措施。</w:t>
            </w:r>
            <w:r w:rsidR="00302452" w:rsidRPr="00302452">
              <w:rPr>
                <w:rFonts w:ascii="仿宋" w:eastAsia="仿宋" w:hAnsi="仿宋" w:hint="eastAsia"/>
                <w:sz w:val="14"/>
                <w:szCs w:val="14"/>
              </w:rPr>
              <w:t>施工机械及运输车辆使用国家规定的标准燃油，尤其是大型运输车辆尾气应达标排放；严禁使用超期服役和尾气超标的车辆</w:t>
            </w:r>
            <w:r w:rsidR="00302452" w:rsidRPr="00302452">
              <w:rPr>
                <w:rFonts w:ascii="仿宋" w:eastAsia="仿宋" w:hAnsi="仿宋" w:hint="eastAsia"/>
                <w:sz w:val="14"/>
                <w:szCs w:val="14"/>
              </w:rPr>
              <w:t>；施工人员</w:t>
            </w:r>
            <w:r w:rsidR="00302452" w:rsidRPr="00302452">
              <w:rPr>
                <w:rFonts w:ascii="仿宋" w:eastAsia="仿宋" w:hAnsi="仿宋" w:hint="eastAsia"/>
                <w:sz w:val="14"/>
                <w:szCs w:val="14"/>
              </w:rPr>
              <w:t>临时食堂做饭采用液化气，杜绝燃用煤炭等高污染燃料</w:t>
            </w:r>
            <w:r w:rsidR="00302452" w:rsidRPr="00302452">
              <w:rPr>
                <w:rFonts w:ascii="仿宋" w:eastAsia="仿宋" w:hAnsi="仿宋" w:hint="eastAsia"/>
                <w:sz w:val="14"/>
                <w:szCs w:val="14"/>
              </w:rPr>
              <w:t>；</w:t>
            </w:r>
            <w:r w:rsidR="00622D26">
              <w:rPr>
                <w:rFonts w:ascii="仿宋" w:eastAsia="仿宋" w:hAnsi="仿宋" w:hint="eastAsia"/>
                <w:sz w:val="14"/>
                <w:szCs w:val="14"/>
              </w:rPr>
              <w:t>运营期严格执行</w:t>
            </w:r>
            <w:r w:rsidR="00622D26" w:rsidRPr="00622D26">
              <w:rPr>
                <w:rFonts w:ascii="仿宋" w:eastAsia="仿宋" w:hAnsi="仿宋" w:hint="eastAsia"/>
                <w:sz w:val="14"/>
                <w:szCs w:val="14"/>
              </w:rPr>
              <w:t>《畜禽养殖业污染治理工程技术规范》（HJ497-2009）及《畜禽养殖业污染防治技术规范》（HJ/T81-2001）相关要求</w:t>
            </w:r>
            <w:r w:rsidR="00622D26">
              <w:rPr>
                <w:rFonts w:ascii="仿宋" w:eastAsia="仿宋" w:hAnsi="仿宋" w:hint="eastAsia"/>
                <w:sz w:val="14"/>
                <w:szCs w:val="14"/>
              </w:rPr>
              <w:t>，同时做到及时清理鸡舍，加强鸡舍消毒措施，采用科学喂养技术从源头和过程中减少废气污染。</w:t>
            </w:r>
          </w:p>
          <w:p w:rsidR="00B04EAE" w:rsidRPr="00584786" w:rsidRDefault="00B04EAE" w:rsidP="008F421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14"/>
                <w:szCs w:val="14"/>
              </w:rPr>
            </w:pPr>
            <w:r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严格落实</w:t>
            </w:r>
            <w:r w:rsidR="00BC7904">
              <w:rPr>
                <w:rFonts w:ascii="仿宋" w:eastAsia="仿宋" w:hAnsi="仿宋" w:hint="eastAsia"/>
                <w:b/>
                <w:sz w:val="14"/>
                <w:szCs w:val="14"/>
              </w:rPr>
              <w:t>施工期及</w:t>
            </w:r>
            <w:r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运营期噪声污染控制措施。</w:t>
            </w:r>
            <w:r w:rsidR="00302452" w:rsidRPr="00302452">
              <w:rPr>
                <w:rFonts w:ascii="仿宋" w:eastAsia="仿宋" w:hAnsi="仿宋" w:hint="eastAsia"/>
                <w:sz w:val="14"/>
                <w:szCs w:val="14"/>
              </w:rPr>
              <w:t>制订施工计划时，应尽可能避免高噪声设备同时施工。除此之外，高噪声施工时间尽量安排在日间，减少夜间施工，打桩机等禁止在夜间施工。</w:t>
            </w:r>
            <w:r w:rsidR="00302452">
              <w:rPr>
                <w:rFonts w:ascii="仿宋" w:eastAsia="仿宋" w:hAnsi="仿宋" w:hint="eastAsia"/>
                <w:sz w:val="14"/>
                <w:szCs w:val="14"/>
              </w:rPr>
              <w:t>施工</w:t>
            </w:r>
            <w:r w:rsidR="00302452" w:rsidRPr="001E275A">
              <w:rPr>
                <w:rFonts w:ascii="仿宋" w:eastAsia="仿宋" w:hAnsi="仿宋" w:hint="eastAsia"/>
                <w:sz w:val="14"/>
                <w:szCs w:val="14"/>
              </w:rPr>
              <w:t>设备选</w:t>
            </w:r>
            <w:r w:rsidR="00302452" w:rsidRPr="001E275A">
              <w:rPr>
                <w:rFonts w:ascii="仿宋" w:eastAsia="仿宋" w:hAnsi="仿宋" w:hint="eastAsia"/>
                <w:sz w:val="14"/>
                <w:szCs w:val="14"/>
              </w:rPr>
              <w:t>择</w:t>
            </w:r>
            <w:r w:rsidR="00302452" w:rsidRPr="001E275A">
              <w:rPr>
                <w:rFonts w:ascii="仿宋" w:eastAsia="仿宋" w:hAnsi="仿宋" w:hint="eastAsia"/>
                <w:sz w:val="14"/>
                <w:szCs w:val="14"/>
              </w:rPr>
              <w:t>低噪声设备，</w:t>
            </w:r>
            <w:r w:rsidR="001E275A" w:rsidRPr="001E275A">
              <w:rPr>
                <w:rFonts w:ascii="仿宋" w:eastAsia="仿宋" w:hAnsi="仿宋" w:hint="eastAsia"/>
                <w:sz w:val="14"/>
                <w:szCs w:val="14"/>
              </w:rPr>
              <w:t>大型施工设备采用</w:t>
            </w:r>
            <w:r w:rsidR="001E275A" w:rsidRPr="001E275A">
              <w:rPr>
                <w:rFonts w:ascii="仿宋" w:eastAsia="仿宋" w:hAnsi="仿宋" w:hint="eastAsia"/>
                <w:sz w:val="14"/>
                <w:szCs w:val="14"/>
              </w:rPr>
              <w:t>排气管消声器和隔离发动机振动部件的方法降低噪声</w:t>
            </w:r>
            <w:r w:rsidR="001E275A" w:rsidRPr="001E275A">
              <w:rPr>
                <w:rFonts w:ascii="仿宋" w:eastAsia="仿宋" w:hAnsi="仿宋" w:hint="eastAsia"/>
                <w:sz w:val="14"/>
                <w:szCs w:val="14"/>
              </w:rPr>
              <w:t>；</w:t>
            </w:r>
            <w:r w:rsidR="001E275A" w:rsidRPr="001E275A">
              <w:rPr>
                <w:rFonts w:ascii="仿宋" w:eastAsia="仿宋" w:hAnsi="仿宋" w:hint="eastAsia"/>
                <w:sz w:val="14"/>
                <w:szCs w:val="14"/>
              </w:rPr>
              <w:t>运输车辆进入现场应减速，并禁止</w:t>
            </w:r>
            <w:r w:rsidR="00AA70FB">
              <w:rPr>
                <w:rFonts w:ascii="仿宋" w:eastAsia="仿宋" w:hAnsi="仿宋" w:hint="eastAsia"/>
                <w:sz w:val="14"/>
                <w:szCs w:val="14"/>
              </w:rPr>
              <w:t>鸣</w:t>
            </w:r>
            <w:r w:rsidR="001E275A" w:rsidRPr="001E275A">
              <w:rPr>
                <w:rFonts w:ascii="仿宋" w:eastAsia="仿宋" w:hAnsi="仿宋" w:hint="eastAsia"/>
                <w:sz w:val="14"/>
                <w:szCs w:val="14"/>
              </w:rPr>
              <w:t>笛</w:t>
            </w:r>
            <w:r w:rsidR="001E275A">
              <w:rPr>
                <w:rFonts w:ascii="仿宋" w:eastAsia="仿宋" w:hAnsi="仿宋" w:hint="eastAsia"/>
                <w:sz w:val="14"/>
                <w:szCs w:val="14"/>
              </w:rPr>
              <w:t>；</w:t>
            </w:r>
            <w:r w:rsidR="001E275A" w:rsidRPr="001E275A">
              <w:rPr>
                <w:rFonts w:ascii="仿宋" w:eastAsia="仿宋" w:hAnsi="仿宋" w:hint="eastAsia"/>
                <w:sz w:val="14"/>
                <w:szCs w:val="14"/>
              </w:rPr>
              <w:t>建立施工挡墙</w:t>
            </w:r>
            <w:r w:rsidR="001E275A">
              <w:rPr>
                <w:rFonts w:ascii="仿宋" w:eastAsia="仿宋" w:hAnsi="仿宋" w:hint="eastAsia"/>
                <w:sz w:val="14"/>
                <w:szCs w:val="14"/>
              </w:rPr>
              <w:t>，高噪声设备置于施工棚内</w:t>
            </w:r>
            <w:r w:rsidR="00750395">
              <w:rPr>
                <w:rFonts w:ascii="仿宋" w:eastAsia="仿宋" w:hAnsi="仿宋" w:hint="eastAsia"/>
                <w:sz w:val="14"/>
                <w:szCs w:val="14"/>
              </w:rPr>
              <w:t>作业</w:t>
            </w:r>
            <w:r w:rsidR="001E275A">
              <w:rPr>
                <w:rFonts w:ascii="仿宋" w:eastAsia="仿宋" w:hAnsi="仿宋" w:hint="eastAsia"/>
                <w:sz w:val="14"/>
                <w:szCs w:val="14"/>
              </w:rPr>
              <w:t>；</w:t>
            </w:r>
            <w:r w:rsidR="008F4212">
              <w:rPr>
                <w:rFonts w:ascii="仿宋" w:eastAsia="仿宋" w:hAnsi="仿宋" w:hint="eastAsia"/>
                <w:sz w:val="14"/>
                <w:szCs w:val="14"/>
              </w:rPr>
              <w:t>运营期</w:t>
            </w:r>
            <w:r w:rsidR="008F4212" w:rsidRPr="008F4212">
              <w:rPr>
                <w:rFonts w:ascii="仿宋" w:eastAsia="仿宋" w:hAnsi="仿宋" w:hint="eastAsia"/>
                <w:sz w:val="14"/>
                <w:szCs w:val="14"/>
              </w:rPr>
              <w:t>采取对水泵、风机进出口配套消声器并对其维护结构进行隔声处理</w:t>
            </w:r>
            <w:r w:rsidR="008F4212">
              <w:rPr>
                <w:rFonts w:ascii="仿宋" w:eastAsia="仿宋" w:hAnsi="仿宋" w:hint="eastAsia"/>
                <w:sz w:val="14"/>
                <w:szCs w:val="14"/>
              </w:rPr>
              <w:t>。</w:t>
            </w:r>
          </w:p>
          <w:p w:rsidR="00B04EAE" w:rsidRPr="00584786" w:rsidRDefault="00B04EAE" w:rsidP="003F4BD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14"/>
                <w:szCs w:val="14"/>
              </w:rPr>
            </w:pPr>
            <w:r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严格落实</w:t>
            </w:r>
            <w:r w:rsidR="008F4212">
              <w:rPr>
                <w:rFonts w:ascii="仿宋" w:eastAsia="仿宋" w:hAnsi="仿宋" w:hint="eastAsia"/>
                <w:b/>
                <w:sz w:val="14"/>
                <w:szCs w:val="14"/>
              </w:rPr>
              <w:t>施工期及</w:t>
            </w:r>
            <w:r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运营期固废处置措施。</w:t>
            </w:r>
            <w:r w:rsidR="001E275A" w:rsidRPr="001E275A">
              <w:rPr>
                <w:rFonts w:ascii="仿宋" w:eastAsia="仿宋" w:hAnsi="仿宋" w:hint="eastAsia"/>
                <w:sz w:val="14"/>
                <w:szCs w:val="14"/>
              </w:rPr>
              <w:t>建筑垃圾混凝土废料、含砖、石、砂的杂土等建筑垃圾，及时清运到环卫部门指定的建筑垃圾填埋场</w:t>
            </w:r>
            <w:r w:rsidR="001E275A">
              <w:rPr>
                <w:rFonts w:ascii="仿宋" w:eastAsia="仿宋" w:hAnsi="仿宋" w:hint="eastAsia"/>
                <w:sz w:val="14"/>
                <w:szCs w:val="14"/>
              </w:rPr>
              <w:t>；配备</w:t>
            </w:r>
            <w:r w:rsidR="001E275A" w:rsidRPr="001E275A">
              <w:rPr>
                <w:rFonts w:ascii="仿宋" w:eastAsia="仿宋" w:hAnsi="仿宋" w:hint="eastAsia"/>
                <w:sz w:val="14"/>
                <w:szCs w:val="14"/>
              </w:rPr>
              <w:t>施工生活垃圾桶，定期送环卫部门指定地点</w:t>
            </w:r>
            <w:r w:rsidR="008F4212">
              <w:rPr>
                <w:rFonts w:ascii="仿宋" w:eastAsia="仿宋" w:hAnsi="仿宋" w:hint="eastAsia"/>
                <w:sz w:val="14"/>
                <w:szCs w:val="14"/>
              </w:rPr>
              <w:t>；运营期对一般固体废物</w:t>
            </w:r>
            <w:r w:rsidR="008F4212" w:rsidRPr="003F4BD9">
              <w:rPr>
                <w:rFonts w:ascii="仿宋" w:eastAsia="仿宋" w:hAnsi="仿宋" w:hint="eastAsia"/>
                <w:sz w:val="14"/>
                <w:szCs w:val="14"/>
              </w:rPr>
              <w:t>鸡粪、散落羽毛及饲料残渣</w:t>
            </w:r>
            <w:r w:rsidR="008F4212" w:rsidRPr="003F4BD9">
              <w:rPr>
                <w:rFonts w:ascii="仿宋" w:eastAsia="仿宋" w:hAnsi="仿宋" w:hint="eastAsia"/>
                <w:sz w:val="14"/>
                <w:szCs w:val="14"/>
              </w:rPr>
              <w:t>采用</w:t>
            </w:r>
            <w:r w:rsidR="003F4BD9" w:rsidRPr="003F4BD9">
              <w:rPr>
                <w:rFonts w:ascii="仿宋" w:eastAsia="仿宋" w:hAnsi="仿宋" w:hint="eastAsia"/>
                <w:sz w:val="14"/>
                <w:szCs w:val="14"/>
              </w:rPr>
              <w:t>有机肥发酵，</w:t>
            </w:r>
            <w:r w:rsidR="008F4212" w:rsidRPr="003F4BD9">
              <w:rPr>
                <w:rFonts w:ascii="仿宋" w:eastAsia="仿宋" w:hAnsi="仿宋" w:hint="eastAsia"/>
                <w:sz w:val="14"/>
                <w:szCs w:val="14"/>
              </w:rPr>
              <w:t>残次鸡蛋和蛋壳</w:t>
            </w:r>
            <w:r w:rsidR="003F4BD9" w:rsidRPr="003F4BD9">
              <w:rPr>
                <w:rFonts w:ascii="仿宋" w:eastAsia="仿宋" w:hAnsi="仿宋" w:hint="eastAsia"/>
                <w:sz w:val="14"/>
                <w:szCs w:val="14"/>
              </w:rPr>
              <w:t>回收后添加到饲料中喂鸡</w:t>
            </w:r>
            <w:r w:rsidR="00876A38">
              <w:rPr>
                <w:rFonts w:ascii="仿宋" w:eastAsia="仿宋" w:hAnsi="仿宋" w:hint="eastAsia"/>
                <w:sz w:val="14"/>
                <w:szCs w:val="14"/>
              </w:rPr>
              <w:t>；</w:t>
            </w:r>
            <w:r w:rsidR="008F4212" w:rsidRPr="003F4BD9">
              <w:rPr>
                <w:rFonts w:ascii="仿宋" w:eastAsia="仿宋" w:hAnsi="仿宋" w:hint="eastAsia"/>
                <w:sz w:val="14"/>
                <w:szCs w:val="14"/>
              </w:rPr>
              <w:t>职工生活垃圾</w:t>
            </w:r>
            <w:r w:rsidR="003F4BD9" w:rsidRPr="003F4BD9">
              <w:rPr>
                <w:rFonts w:ascii="仿宋" w:eastAsia="仿宋" w:hAnsi="仿宋" w:hint="eastAsia"/>
                <w:sz w:val="14"/>
                <w:szCs w:val="14"/>
              </w:rPr>
              <w:t>交由当地环卫部门定期清运；对危险废物</w:t>
            </w:r>
            <w:r w:rsidR="003F4BD9" w:rsidRPr="003F4BD9">
              <w:rPr>
                <w:rFonts w:ascii="仿宋" w:eastAsia="仿宋" w:hAnsi="仿宋" w:hint="eastAsia"/>
                <w:sz w:val="14"/>
                <w:szCs w:val="14"/>
              </w:rPr>
              <w:t>病死鸡</w:t>
            </w:r>
            <w:r w:rsidR="003F4BD9" w:rsidRPr="003F4BD9">
              <w:rPr>
                <w:rFonts w:ascii="仿宋" w:eastAsia="仿宋" w:hAnsi="仿宋" w:hint="eastAsia"/>
                <w:sz w:val="14"/>
                <w:szCs w:val="14"/>
              </w:rPr>
              <w:t>按照</w:t>
            </w:r>
            <w:r w:rsidR="003F4BD9" w:rsidRPr="003F4BD9">
              <w:rPr>
                <w:rFonts w:ascii="仿宋" w:eastAsia="仿宋" w:hAnsi="仿宋" w:hint="eastAsia"/>
                <w:sz w:val="14"/>
                <w:szCs w:val="14"/>
              </w:rPr>
              <w:t>《畜禽养殖业污染防治技术规范》(HJ/T81</w:t>
            </w:r>
            <w:r w:rsidR="003F4BD9" w:rsidRPr="003F4BD9">
              <w:rPr>
                <w:rFonts w:ascii="仿宋" w:eastAsia="仿宋" w:hAnsi="仿宋"/>
                <w:sz w:val="14"/>
                <w:szCs w:val="14"/>
              </w:rPr>
              <w:t>-</w:t>
            </w:r>
            <w:r w:rsidR="003F4BD9" w:rsidRPr="003F4BD9">
              <w:rPr>
                <w:rFonts w:ascii="仿宋" w:eastAsia="仿宋" w:hAnsi="仿宋" w:hint="eastAsia"/>
                <w:sz w:val="14"/>
                <w:szCs w:val="14"/>
              </w:rPr>
              <w:t>2001)中有关要求</w:t>
            </w:r>
            <w:r w:rsidR="003F4BD9" w:rsidRPr="003F4BD9">
              <w:rPr>
                <w:rFonts w:ascii="仿宋" w:eastAsia="仿宋" w:hAnsi="仿宋" w:hint="eastAsia"/>
                <w:sz w:val="14"/>
                <w:szCs w:val="14"/>
              </w:rPr>
              <w:t>采用安全填埋井填埋，</w:t>
            </w:r>
            <w:r w:rsidR="003F4BD9" w:rsidRPr="003F4BD9">
              <w:rPr>
                <w:rFonts w:ascii="仿宋" w:eastAsia="仿宋" w:hAnsi="仿宋" w:hint="eastAsia"/>
                <w:sz w:val="14"/>
                <w:szCs w:val="14"/>
              </w:rPr>
              <w:t>每次投入畜禽尸体后，应覆盖一层厚度大于10cm的熟石灰，井填满后，须用黏土填埋压实并封口</w:t>
            </w:r>
            <w:r w:rsidR="00876A38">
              <w:rPr>
                <w:rFonts w:ascii="仿宋" w:eastAsia="仿宋" w:hAnsi="仿宋" w:hint="eastAsia"/>
                <w:sz w:val="14"/>
                <w:szCs w:val="14"/>
              </w:rPr>
              <w:t>；</w:t>
            </w:r>
            <w:r w:rsidR="003F4BD9" w:rsidRPr="003F4BD9">
              <w:rPr>
                <w:rFonts w:ascii="仿宋" w:eastAsia="仿宋" w:hAnsi="仿宋" w:hint="eastAsia"/>
                <w:sz w:val="14"/>
                <w:szCs w:val="14"/>
              </w:rPr>
              <w:t>畜禽医疗废物</w:t>
            </w:r>
            <w:r w:rsidR="003F4BD9">
              <w:rPr>
                <w:rFonts w:ascii="仿宋" w:eastAsia="仿宋" w:hAnsi="仿宋" w:hint="eastAsia"/>
                <w:sz w:val="14"/>
                <w:szCs w:val="14"/>
              </w:rPr>
              <w:t>先将其</w:t>
            </w:r>
            <w:r w:rsidR="003F4BD9" w:rsidRPr="003F4BD9">
              <w:rPr>
                <w:rFonts w:ascii="仿宋" w:eastAsia="仿宋" w:hAnsi="仿宋" w:hint="eastAsia"/>
                <w:sz w:val="14"/>
                <w:szCs w:val="14"/>
              </w:rPr>
              <w:t>收集、暂存于医疗废物暂存间内，暂存间应定期消毒和清洁，定期交有资质单位处置</w:t>
            </w:r>
            <w:r w:rsidR="003F4BD9">
              <w:rPr>
                <w:rFonts w:ascii="仿宋" w:eastAsia="仿宋" w:hAnsi="仿宋" w:hint="eastAsia"/>
                <w:sz w:val="14"/>
                <w:szCs w:val="14"/>
              </w:rPr>
              <w:t>。</w:t>
            </w:r>
          </w:p>
          <w:p w:rsidR="00302452" w:rsidRDefault="00302452" w:rsidP="008F4212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hint="eastAsia"/>
                <w:sz w:val="14"/>
                <w:szCs w:val="14"/>
              </w:rPr>
            </w:pPr>
            <w:r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严格落实</w:t>
            </w:r>
            <w:r>
              <w:rPr>
                <w:rFonts w:ascii="仿宋" w:eastAsia="仿宋" w:hAnsi="仿宋" w:hint="eastAsia"/>
                <w:b/>
                <w:sz w:val="14"/>
                <w:szCs w:val="14"/>
              </w:rPr>
              <w:t>施工期及</w:t>
            </w:r>
            <w:r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运营期</w:t>
            </w:r>
            <w:r>
              <w:rPr>
                <w:rFonts w:ascii="仿宋" w:eastAsia="仿宋" w:hAnsi="仿宋" w:hint="eastAsia"/>
                <w:b/>
                <w:sz w:val="14"/>
                <w:szCs w:val="14"/>
              </w:rPr>
              <w:t>废水</w:t>
            </w:r>
            <w:r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处置措施</w:t>
            </w:r>
            <w:r w:rsidR="00B04EAE"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。</w:t>
            </w:r>
            <w:r w:rsidRPr="00302452">
              <w:rPr>
                <w:rFonts w:ascii="仿宋" w:eastAsia="仿宋" w:hAnsi="仿宋" w:hint="eastAsia"/>
                <w:sz w:val="14"/>
                <w:szCs w:val="14"/>
              </w:rPr>
              <w:t>砂石料搅拌废水、机械和车辆冲洗废水：这些施工废水中SS浓度较大，应设置废水沉淀池，废水经沉淀后用于施工物料拌合用水或地面洒水，禁止废水乱排。</w:t>
            </w:r>
            <w:r w:rsidRPr="00302452">
              <w:rPr>
                <w:rFonts w:ascii="仿宋" w:eastAsia="仿宋" w:hAnsi="仿宋" w:hint="eastAsia"/>
                <w:sz w:val="14"/>
                <w:szCs w:val="14"/>
              </w:rPr>
              <w:t>施工人员生活污水采取集中收集设施，经隔油、沉淀等简单处理后用于施工场地道路洒水或其它抑尘环节</w:t>
            </w:r>
            <w:r>
              <w:rPr>
                <w:rFonts w:ascii="仿宋" w:eastAsia="仿宋" w:hAnsi="仿宋" w:hint="eastAsia"/>
                <w:sz w:val="14"/>
                <w:szCs w:val="14"/>
              </w:rPr>
              <w:t>；</w:t>
            </w:r>
            <w:r w:rsidRPr="00302452">
              <w:rPr>
                <w:rFonts w:ascii="仿宋" w:eastAsia="仿宋" w:hAnsi="仿宋" w:hint="eastAsia"/>
                <w:sz w:val="14"/>
                <w:szCs w:val="14"/>
              </w:rPr>
              <w:t>施工区内增设必要的排水沟道，有利于雨水排放</w:t>
            </w:r>
            <w:r>
              <w:rPr>
                <w:rFonts w:ascii="仿宋" w:eastAsia="仿宋" w:hAnsi="仿宋" w:hint="eastAsia"/>
                <w:sz w:val="14"/>
                <w:szCs w:val="14"/>
              </w:rPr>
              <w:t>；</w:t>
            </w:r>
            <w:r w:rsidR="00622D26">
              <w:rPr>
                <w:rFonts w:ascii="仿宋" w:eastAsia="仿宋" w:hAnsi="仿宋" w:hint="eastAsia"/>
                <w:sz w:val="14"/>
                <w:szCs w:val="14"/>
              </w:rPr>
              <w:t>运营期</w:t>
            </w:r>
            <w:r w:rsidR="00622D26" w:rsidRPr="00622D26">
              <w:rPr>
                <w:rFonts w:ascii="仿宋" w:eastAsia="仿宋" w:hAnsi="仿宋" w:hint="eastAsia"/>
                <w:sz w:val="14"/>
                <w:szCs w:val="14"/>
              </w:rPr>
              <w:t>生活污水、鸡舍冲洗废水及初期雨水通过管道排入黑膜厌氧发酵池，采用厌氧发酵工艺，发酵后产生沼液用于周围农田施肥。</w:t>
            </w:r>
            <w:r w:rsidR="00876A38">
              <w:rPr>
                <w:rFonts w:ascii="仿宋" w:eastAsia="仿宋" w:hAnsi="仿宋" w:hint="eastAsia"/>
                <w:sz w:val="14"/>
                <w:szCs w:val="14"/>
              </w:rPr>
              <w:t>严格按照</w:t>
            </w:r>
            <w:r w:rsidR="008F4212" w:rsidRPr="008F4212">
              <w:rPr>
                <w:rFonts w:ascii="仿宋" w:eastAsia="仿宋" w:hAnsi="仿宋" w:hint="eastAsia"/>
                <w:sz w:val="14"/>
                <w:szCs w:val="14"/>
              </w:rPr>
              <w:t>《环境影响评价技术导则地下水环境》（HJ610-2016）地下水的污染防治原则</w:t>
            </w:r>
            <w:r w:rsidR="008F4212">
              <w:rPr>
                <w:rFonts w:ascii="仿宋" w:eastAsia="仿宋" w:hAnsi="仿宋" w:hint="eastAsia"/>
                <w:sz w:val="14"/>
                <w:szCs w:val="14"/>
              </w:rPr>
              <w:t>有效控制对地下水的污染。</w:t>
            </w:r>
          </w:p>
          <w:p w:rsidR="00B04EAE" w:rsidRPr="00584786" w:rsidRDefault="003F4BD9" w:rsidP="005F2031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14"/>
                <w:szCs w:val="14"/>
              </w:rPr>
            </w:pPr>
            <w:r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严格落实</w:t>
            </w:r>
            <w:r>
              <w:rPr>
                <w:rFonts w:ascii="仿宋" w:eastAsia="仿宋" w:hAnsi="仿宋" w:hint="eastAsia"/>
                <w:b/>
                <w:sz w:val="14"/>
                <w:szCs w:val="14"/>
              </w:rPr>
              <w:t>施工期及</w:t>
            </w:r>
            <w:r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运营期</w:t>
            </w:r>
            <w:r>
              <w:rPr>
                <w:rFonts w:ascii="仿宋" w:eastAsia="仿宋" w:hAnsi="仿宋" w:hint="eastAsia"/>
                <w:b/>
                <w:sz w:val="14"/>
                <w:szCs w:val="14"/>
              </w:rPr>
              <w:t>生态保护</w:t>
            </w:r>
            <w:r w:rsidRPr="00584786">
              <w:rPr>
                <w:rFonts w:ascii="仿宋" w:eastAsia="仿宋" w:hAnsi="仿宋" w:hint="eastAsia"/>
                <w:b/>
                <w:sz w:val="14"/>
                <w:szCs w:val="14"/>
              </w:rPr>
              <w:t>措施。</w:t>
            </w:r>
            <w:r w:rsidRPr="003F4BD9">
              <w:rPr>
                <w:rFonts w:ascii="仿宋" w:eastAsia="仿宋" w:hAnsi="仿宋" w:hint="eastAsia"/>
                <w:sz w:val="14"/>
                <w:szCs w:val="14"/>
              </w:rPr>
              <w:t>施工过程中要加强施工管理，尽量缩小施工范围</w:t>
            </w:r>
            <w:r>
              <w:rPr>
                <w:rFonts w:ascii="仿宋" w:eastAsia="仿宋" w:hAnsi="仿宋" w:hint="eastAsia"/>
                <w:sz w:val="14"/>
                <w:szCs w:val="14"/>
              </w:rPr>
              <w:t>，</w:t>
            </w:r>
            <w:r w:rsidRPr="003F4BD9">
              <w:rPr>
                <w:rFonts w:ascii="仿宋" w:eastAsia="仿宋" w:hAnsi="仿宋" w:hint="eastAsia"/>
                <w:sz w:val="14"/>
                <w:szCs w:val="14"/>
              </w:rPr>
              <w:t>严格控制和管理运输施工材料车辆及重型机械施工作业范围，尽量减少对土壤的破坏。</w:t>
            </w:r>
            <w:r w:rsidRPr="00784C1F">
              <w:rPr>
                <w:rFonts w:ascii="仿宋" w:eastAsia="仿宋" w:hAnsi="仿宋" w:hint="eastAsia"/>
                <w:sz w:val="14"/>
                <w:szCs w:val="14"/>
              </w:rPr>
              <w:t>施工开挖土方、装卸土方等工序，应尽量避开雨季。加强施工人员环境保护意识，禁止破坏施工范围外的植被。</w:t>
            </w:r>
            <w:r w:rsidR="00784C1F">
              <w:rPr>
                <w:rFonts w:ascii="仿宋" w:eastAsia="仿宋" w:hAnsi="仿宋" w:hint="eastAsia"/>
                <w:sz w:val="14"/>
                <w:szCs w:val="14"/>
              </w:rPr>
              <w:t>运营期</w:t>
            </w:r>
            <w:r w:rsidR="00784C1F" w:rsidRPr="00784C1F">
              <w:rPr>
                <w:rFonts w:ascii="仿宋" w:eastAsia="仿宋" w:hAnsi="仿宋" w:hint="eastAsia"/>
                <w:sz w:val="14"/>
                <w:szCs w:val="14"/>
              </w:rPr>
              <w:t>加强建设项目自身的污染治理，采用先进、高效的防治措施减少全场“三废”排放对当地生</w:t>
            </w:r>
            <w:r w:rsidR="00784C1F" w:rsidRPr="00784C1F">
              <w:rPr>
                <w:rFonts w:ascii="仿宋" w:eastAsia="仿宋" w:hAnsi="仿宋" w:hint="eastAsia"/>
                <w:sz w:val="14"/>
                <w:szCs w:val="14"/>
              </w:rPr>
              <w:lastRenderedPageBreak/>
              <w:t>态环境影响。</w:t>
            </w:r>
            <w:r w:rsidR="005F2031" w:rsidRPr="005F2031">
              <w:rPr>
                <w:rFonts w:ascii="仿宋" w:eastAsia="仿宋" w:hAnsi="仿宋" w:hint="eastAsia"/>
                <w:sz w:val="14"/>
                <w:szCs w:val="14"/>
              </w:rPr>
              <w:t>对场区道路及地面进行硬化，减少雨水冲刷地面造成的生态影响；对鸡舍周围设置绿化带，减少恶臭造成的环境影响，改善区域生态环境。</w:t>
            </w:r>
          </w:p>
        </w:tc>
      </w:tr>
      <w:tr w:rsidR="008F4212" w:rsidTr="00B04EAE">
        <w:trPr>
          <w:trHeight w:val="12057"/>
        </w:trPr>
        <w:tc>
          <w:tcPr>
            <w:tcW w:w="392" w:type="dxa"/>
            <w:vAlign w:val="center"/>
          </w:tcPr>
          <w:p w:rsidR="008F4212" w:rsidRDefault="008F4212" w:rsidP="00B04EAE">
            <w:pPr>
              <w:widowControl/>
              <w:jc w:val="center"/>
              <w:rPr>
                <w:rFonts w:ascii="仿宋" w:eastAsia="仿宋" w:hAnsi="仿宋" w:hint="eastAsia"/>
                <w:sz w:val="2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F4212" w:rsidRPr="00CA559E" w:rsidRDefault="008F4212" w:rsidP="00B04EAE">
            <w:pPr>
              <w:widowControl/>
              <w:jc w:val="center"/>
              <w:rPr>
                <w:rFonts w:ascii="仿宋" w:eastAsia="仿宋" w:hAnsi="仿宋" w:hint="eastAsia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F4212" w:rsidRPr="00CA559E" w:rsidRDefault="008F4212" w:rsidP="00B04EAE">
            <w:pPr>
              <w:widowControl/>
              <w:jc w:val="center"/>
              <w:rPr>
                <w:rFonts w:ascii="仿宋" w:eastAsia="仿宋" w:hAnsi="仿宋" w:hint="eastAsia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F4212" w:rsidRPr="00CA559E" w:rsidRDefault="008F4212" w:rsidP="00B04EAE">
            <w:pPr>
              <w:widowControl/>
              <w:jc w:val="center"/>
              <w:rPr>
                <w:rFonts w:ascii="仿宋" w:eastAsia="仿宋" w:hAnsi="仿宋" w:hint="eastAsi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F4212" w:rsidRPr="00CA559E" w:rsidRDefault="008F4212" w:rsidP="00B04EAE">
            <w:pPr>
              <w:widowControl/>
              <w:jc w:val="center"/>
              <w:rPr>
                <w:rFonts w:ascii="仿宋" w:eastAsia="仿宋" w:hAnsi="仿宋" w:hint="eastAsia"/>
                <w:sz w:val="14"/>
                <w:szCs w:val="14"/>
              </w:rPr>
            </w:pPr>
          </w:p>
        </w:tc>
        <w:tc>
          <w:tcPr>
            <w:tcW w:w="1446" w:type="dxa"/>
            <w:vAlign w:val="center"/>
          </w:tcPr>
          <w:p w:rsidR="008F4212" w:rsidRPr="00CA559E" w:rsidRDefault="008F4212" w:rsidP="00B04EAE">
            <w:pPr>
              <w:widowControl/>
              <w:jc w:val="center"/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5386" w:type="dxa"/>
            <w:vAlign w:val="center"/>
          </w:tcPr>
          <w:p w:rsidR="008F4212" w:rsidRPr="008F4212" w:rsidRDefault="008F4212" w:rsidP="008F4212">
            <w:pPr>
              <w:widowControl/>
              <w:jc w:val="left"/>
              <w:rPr>
                <w:rFonts w:ascii="仿宋" w:eastAsia="仿宋" w:hAnsi="仿宋" w:hint="eastAsia"/>
                <w:b/>
                <w:sz w:val="14"/>
                <w:szCs w:val="14"/>
              </w:rPr>
            </w:pPr>
          </w:p>
        </w:tc>
      </w:tr>
    </w:tbl>
    <w:p w:rsidR="0088431C" w:rsidRPr="00B04EAE" w:rsidRDefault="00BB3BBE" w:rsidP="00B04EAE"/>
    <w:sectPr w:rsidR="0088431C" w:rsidRPr="00B04EAE" w:rsidSect="00B04E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AE" w:rsidRDefault="00B04EAE" w:rsidP="00B04EAE">
      <w:r>
        <w:separator/>
      </w:r>
    </w:p>
  </w:endnote>
  <w:endnote w:type="continuationSeparator" w:id="0">
    <w:p w:rsidR="00B04EAE" w:rsidRDefault="00B04EAE" w:rsidP="00B0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AE" w:rsidRDefault="00B04EAE" w:rsidP="00B04EAE">
      <w:r>
        <w:separator/>
      </w:r>
    </w:p>
  </w:footnote>
  <w:footnote w:type="continuationSeparator" w:id="0">
    <w:p w:rsidR="00B04EAE" w:rsidRDefault="00B04EAE" w:rsidP="00B0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75D17"/>
    <w:multiLevelType w:val="multilevel"/>
    <w:tmpl w:val="47775D1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8A7E61"/>
    <w:multiLevelType w:val="multilevel"/>
    <w:tmpl w:val="61CAEA0E"/>
    <w:lvl w:ilvl="0">
      <w:start w:val="4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C5"/>
    <w:rsid w:val="0004078B"/>
    <w:rsid w:val="000E2E04"/>
    <w:rsid w:val="0010555A"/>
    <w:rsid w:val="001E275A"/>
    <w:rsid w:val="00266539"/>
    <w:rsid w:val="00302452"/>
    <w:rsid w:val="003F4BD9"/>
    <w:rsid w:val="00436DC3"/>
    <w:rsid w:val="00482C2C"/>
    <w:rsid w:val="00584786"/>
    <w:rsid w:val="005B33C5"/>
    <w:rsid w:val="005F2031"/>
    <w:rsid w:val="00622D26"/>
    <w:rsid w:val="00750395"/>
    <w:rsid w:val="00784C1F"/>
    <w:rsid w:val="00864980"/>
    <w:rsid w:val="00876A38"/>
    <w:rsid w:val="008F4212"/>
    <w:rsid w:val="009A5E04"/>
    <w:rsid w:val="00AA70FB"/>
    <w:rsid w:val="00B04EAE"/>
    <w:rsid w:val="00B50EEB"/>
    <w:rsid w:val="00BB3BBE"/>
    <w:rsid w:val="00BC7904"/>
    <w:rsid w:val="00C22F02"/>
    <w:rsid w:val="00C91CF0"/>
    <w:rsid w:val="00CA559E"/>
    <w:rsid w:val="00CB1463"/>
    <w:rsid w:val="00D56FE4"/>
    <w:rsid w:val="00E579A8"/>
    <w:rsid w:val="00E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6D82A0-5FEC-4F27-A464-2274E650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EAE"/>
    <w:rPr>
      <w:sz w:val="18"/>
      <w:szCs w:val="18"/>
    </w:rPr>
  </w:style>
  <w:style w:type="table" w:styleId="a5">
    <w:name w:val="Table Grid"/>
    <w:basedOn w:val="a1"/>
    <w:uiPriority w:val="59"/>
    <w:rsid w:val="00B04EA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E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300</Words>
  <Characters>1711</Characters>
  <Application>Microsoft Office Word</Application>
  <DocSecurity>0</DocSecurity>
  <Lines>14</Lines>
  <Paragraphs>4</Paragraphs>
  <ScaleCrop>false</ScaleCrop>
  <Company>Organization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dcterms:created xsi:type="dcterms:W3CDTF">2022-10-09T07:35:00Z</dcterms:created>
  <dcterms:modified xsi:type="dcterms:W3CDTF">2023-01-28T05:07:00Z</dcterms:modified>
</cp:coreProperties>
</file>